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江苏省惠隆资产管理有限公司负责人201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sz w:val="36"/>
          <w:szCs w:val="36"/>
        </w:rPr>
        <w:t>年度薪酬情况</w:t>
      </w:r>
    </w:p>
    <w:tbl>
      <w:tblPr>
        <w:tblStyle w:val="4"/>
        <w:tblW w:w="1547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126"/>
        <w:gridCol w:w="1018"/>
        <w:gridCol w:w="992"/>
        <w:gridCol w:w="992"/>
        <w:gridCol w:w="1276"/>
        <w:gridCol w:w="1134"/>
        <w:gridCol w:w="269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姓  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任职起止时间</w:t>
            </w:r>
          </w:p>
        </w:tc>
        <w:tc>
          <w:tcPr>
            <w:tcW w:w="10232" w:type="dxa"/>
            <w:gridSpan w:val="7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年度从本公司获得的税前报酬情况（单位：万元）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应付薪酬（1）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福利性待遇单位缴存部分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省级以上奖励性货币收入（注明具体项目并分列）（6）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合计（7）=（1）+（2）+（3）+（4）+（5）+（6）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01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社会保险（2）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企业年金（3）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补充医疗保险（4）</w:t>
            </w: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住房公积金（5）</w:t>
            </w:r>
          </w:p>
        </w:tc>
        <w:tc>
          <w:tcPr>
            <w:tcW w:w="269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陆宏平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szCs w:val="21"/>
              </w:rPr>
              <w:t>党委书记、董事长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.01-201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67.46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4.38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4.11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周明勇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szCs w:val="21"/>
              </w:rPr>
              <w:t>党委副书记、总经理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.01-201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61.88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6.28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6.81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王海青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szCs w:val="21"/>
              </w:rPr>
              <w:t>党委委员、副总经理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.01-201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54.07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4.38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3.50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65.02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张宇峰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szCs w:val="21"/>
              </w:rPr>
              <w:t>党委委员、副总经理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.01-201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52.97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5.29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3.64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64.97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徐  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黑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szCs w:val="21"/>
              </w:rPr>
              <w:t>党委委员、纪委书记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.01-201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52.97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5.29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 xml:space="preserve">5.79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67.12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eastAsia="zh-CN"/>
              </w:rPr>
              <w:t>朱银生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黑体" w:eastAsia="方正仿宋_GBK"/>
                <w:szCs w:val="21"/>
                <w:lang w:eastAsia="zh-CN"/>
              </w:rPr>
              <w:t>副总经理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2015.01-2015.03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0.77</w:t>
            </w:r>
          </w:p>
        </w:tc>
      </w:tr>
    </w:tbl>
    <w:p>
      <w:pPr>
        <w:spacing w:line="400" w:lineRule="exact"/>
        <w:jc w:val="left"/>
        <w:rPr>
          <w:rFonts w:ascii="方正仿宋_GBK" w:hAnsi="黑体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sz w:val="24"/>
          <w:szCs w:val="24"/>
        </w:rPr>
        <w:t>备注：</w:t>
      </w:r>
    </w:p>
    <w:p>
      <w:pPr>
        <w:spacing w:line="400" w:lineRule="exact"/>
        <w:jc w:val="left"/>
        <w:rPr>
          <w:rFonts w:ascii="方正仿宋_GBK" w:hAnsi="黑体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sz w:val="24"/>
          <w:szCs w:val="24"/>
        </w:rPr>
        <w:t>1.上表披露薪酬为我公司负责人2017年度全部应发税前薪酬（含2015-2017年度任期激励的50%），其中第（1）项由省国资委核定。</w:t>
      </w:r>
    </w:p>
    <w:p>
      <w:pPr>
        <w:spacing w:line="400" w:lineRule="exact"/>
        <w:jc w:val="left"/>
        <w:rPr>
          <w:rFonts w:ascii="方正仿宋_GBK" w:hAnsi="黑体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sz w:val="24"/>
          <w:szCs w:val="24"/>
        </w:rPr>
        <w:t>2.</w:t>
      </w:r>
      <w:r>
        <w:rPr>
          <w:rFonts w:hint="eastAsia" w:ascii="方正仿宋_GBK" w:hAnsi="黑体" w:eastAsia="方正仿宋_GBK"/>
          <w:sz w:val="24"/>
          <w:szCs w:val="24"/>
          <w:lang w:eastAsia="zh-CN"/>
        </w:rPr>
        <w:t>朱银生仅2015年1-3月在本公司工作，本次应付薪酬为对应的2015-2017年任期激励</w:t>
      </w:r>
      <w:bookmarkStart w:id="0" w:name="_GoBack"/>
      <w:bookmarkEnd w:id="0"/>
      <w:r>
        <w:rPr>
          <w:rFonts w:hint="eastAsia" w:ascii="方正仿宋_GBK" w:hAnsi="黑体" w:eastAsia="方正仿宋_GBK"/>
          <w:sz w:val="24"/>
          <w:szCs w:val="24"/>
        </w:rPr>
        <w:t>。</w:t>
      </w:r>
    </w:p>
    <w:p>
      <w:pPr>
        <w:spacing w:line="400" w:lineRule="exact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0F45"/>
    <w:rsid w:val="06980F45"/>
    <w:rsid w:val="5918265F"/>
    <w:rsid w:val="651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2019-05-15T08:46:00Z</dcterms:created>
  <dc:creator>胡欣雨</dc:creator>
  <cp:lastModifiedBy>胡欣雨</cp:lastModifiedBy>
  <dcterms:modified xsi:type="dcterms:W3CDTF">2019-05-16T02:51:06Z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